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重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2019N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030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高效调制、高功率皮秒紫外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激光器关键技术研发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cs="仿宋_GB2312"/>
          <w:color w:val="000000" w:themeColor="text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</w:rPr>
        <w:t>一、领域：</w:t>
      </w:r>
      <w:r>
        <w:rPr>
          <w:rFonts w:hint="eastAsia" w:ascii="仿宋_GB2312" w:hAnsi="仿宋_GB2312" w:cs="仿宋_GB2312"/>
          <w:shd w:val="clear" w:color="auto" w:fill="auto"/>
          <w:lang w:val="en-US" w:eastAsia="zh-CN"/>
        </w:rPr>
        <w:t>先进制造与自动化</w:t>
      </w:r>
      <w:r>
        <w:rPr>
          <w:rFonts w:hint="eastAsia" w:ascii="仿宋_GB2312" w:hAnsi="仿宋_GB2312" w:eastAsia="仿宋_GB2312" w:cs="仿宋_GB2312"/>
          <w:color w:val="000000" w:themeColor="text1"/>
          <w:shd w:val="clear" w:color="auto" w:fill="auto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仿宋_GB2312" w:hAnsi="仿宋_GB2312" w:cs="仿宋_GB2312"/>
          <w:color w:val="000000" w:themeColor="text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先进制造工艺与装备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二、主要研发内容：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</w:t>
      </w:r>
      <w:r>
        <w:rPr>
          <w:rFonts w:hint="eastAsia" w:ascii="仿宋_GB2312" w:hAnsi="仿宋_GB2312" w:cs="仿宋_GB2312"/>
          <w:lang w:val="en-US" w:eastAsia="zh-CN"/>
        </w:rPr>
        <w:t>高效调制的近红外皮秒激光种子源研发</w:t>
      </w:r>
      <w:r>
        <w:rPr>
          <w:rFonts w:hint="eastAsia" w:ascii="仿宋_GB2312" w:hAnsi="仿宋_GB2312" w:eastAsia="仿宋_GB2312" w:cs="仿宋_GB231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（二）</w:t>
      </w:r>
      <w:r>
        <w:rPr>
          <w:rFonts w:hint="eastAsia" w:ascii="仿宋_GB2312" w:hAnsi="仿宋_GB2312" w:cs="仿宋_GB2312"/>
          <w:lang w:val="en-US" w:eastAsia="zh-CN"/>
        </w:rPr>
        <w:t>皮秒激光放大技术与光束质量保持技术研发</w:t>
      </w:r>
      <w:r>
        <w:rPr>
          <w:rFonts w:hint="eastAsia" w:ascii="仿宋_GB2312" w:hAnsi="仿宋_GB2312" w:eastAsia="仿宋_GB2312" w:cs="仿宋_GB231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（三）</w:t>
      </w:r>
      <w:r>
        <w:rPr>
          <w:rFonts w:hint="eastAsia" w:ascii="仿宋_GB2312" w:hAnsi="仿宋_GB2312" w:cs="仿宋_GB2312"/>
          <w:lang w:val="en-US" w:eastAsia="zh-CN"/>
        </w:rPr>
        <w:t>腔外倍频技术、高效率皮秒紫外激光转换与皮秒紫外激光损伤机理研究</w:t>
      </w:r>
      <w:r>
        <w:rPr>
          <w:rFonts w:hint="eastAsia" w:ascii="仿宋_GB2312" w:hAnsi="仿宋_GB2312" w:eastAsia="仿宋_GB2312" w:cs="仿宋_GB231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（四）</w:t>
      </w:r>
      <w:r>
        <w:rPr>
          <w:rFonts w:hint="eastAsia" w:ascii="仿宋_GB2312" w:hAnsi="仿宋_GB2312" w:cs="仿宋_GB2312"/>
          <w:lang w:val="en-US" w:eastAsia="zh-CN"/>
        </w:rPr>
        <w:t>皮秒紫外激光器的高可靠集成设计与高效率装配技术研发</w:t>
      </w:r>
      <w:r>
        <w:rPr>
          <w:rFonts w:hint="eastAsia" w:ascii="仿宋_GB2312" w:hAnsi="仿宋_GB2312" w:eastAsia="仿宋_GB2312" w:cs="仿宋_GB231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三、项目考核指标（项目执行期内）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（一）经济指标：实现销售收入≥2000万元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（二）学术指标：申请专利≥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件，其中发明专利≥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（三）技术指标：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1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cs="仿宋_GB2312"/>
          <w:lang w:val="en-US" w:eastAsia="zh-CN"/>
        </w:rPr>
        <w:t>激光中心波长：350</w:t>
      </w:r>
      <w:r>
        <w:rPr>
          <w:rFonts w:hint="eastAsia" w:ascii="仿宋_GB2312" w:hAnsi="仿宋_GB2312" w:eastAsia="仿宋_GB2312" w:cs="仿宋_GB2312"/>
          <w:color w:val="333333"/>
          <w:szCs w:val="32"/>
          <w:shd w:val="clear" w:color="auto" w:fill="FFFFFF"/>
        </w:rPr>
        <w:t>±</w:t>
      </w:r>
      <w:r>
        <w:rPr>
          <w:rFonts w:hint="eastAsia" w:ascii="仿宋_GB2312" w:hAnsi="仿宋_GB2312" w:cs="仿宋_GB2312"/>
          <w:color w:val="333333"/>
          <w:szCs w:val="32"/>
          <w:shd w:val="clear" w:color="auto" w:fill="FFFFFF"/>
          <w:lang w:val="en-US" w:eastAsia="zh-CN"/>
        </w:rPr>
        <w:t>10</w:t>
      </w:r>
      <w:r>
        <w:rPr>
          <w:rFonts w:hint="eastAsia" w:ascii="仿宋_GB2312" w:hAnsi="仿宋_GB2312" w:cs="仿宋_GB2312"/>
          <w:lang w:val="en-US" w:eastAsia="zh-CN"/>
        </w:rPr>
        <w:t>nm；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cs="仿宋_GB2312"/>
          <w:lang w:val="en-US" w:eastAsia="zh-CN"/>
        </w:rPr>
        <w:t>平均输出功率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仿宋_GB2312" w:hAnsi="仿宋_GB2312" w:cs="仿宋_GB2312"/>
          <w:lang w:val="en-US" w:eastAsia="zh-CN"/>
        </w:rPr>
        <w:t>40W；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cs="仿宋_GB2312"/>
          <w:lang w:val="en-US" w:eastAsia="zh-CN"/>
        </w:rPr>
        <w:t>脉冲宽度≤10ps；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cs="仿宋_GB2312"/>
          <w:lang w:val="en-US" w:eastAsia="zh-CN"/>
        </w:rPr>
        <w:t>光束质量：M</w:t>
      </w:r>
      <w:r>
        <w:rPr>
          <w:rFonts w:hint="eastAsia" w:ascii="仿宋_GB2312" w:hAnsi="仿宋_GB2312" w:cs="仿宋_GB2312"/>
          <w:vertAlign w:val="superscript"/>
          <w:lang w:val="en-US" w:eastAsia="zh-CN"/>
        </w:rPr>
        <w:t>2</w:t>
      </w:r>
      <w:r>
        <w:rPr>
          <w:rFonts w:hint="eastAsia" w:ascii="仿宋_GB2312" w:hAnsi="仿宋_GB2312" w:cs="仿宋_GB2312"/>
          <w:lang w:val="en-US" w:eastAsia="zh-CN"/>
        </w:rPr>
        <w:t>≤1.5；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5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cs="仿宋_GB2312"/>
          <w:lang w:val="en-US" w:eastAsia="zh-CN"/>
        </w:rPr>
        <w:t>功率稳定性</w:t>
      </w:r>
      <w:r>
        <w:rPr>
          <w:rFonts w:hint="eastAsia" w:ascii="仿宋_GB2312" w:hAnsi="仿宋_GB2312" w:eastAsia="仿宋_GB2312" w:cs="仿宋_GB2312"/>
        </w:rPr>
        <w:t>≤</w:t>
      </w:r>
      <w:r>
        <w:rPr>
          <w:rFonts w:hint="eastAsia" w:ascii="仿宋_GB2312" w:hAnsi="仿宋_GB2312" w:cs="仿宋_GB2312"/>
          <w:lang w:val="en-US" w:eastAsia="zh-CN"/>
        </w:rPr>
        <w:t>2%（RMS 1σ）；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200" w:hanging="480" w:hangingChars="150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6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cs="仿宋_GB2312"/>
          <w:lang w:val="en-US" w:eastAsia="zh-CN"/>
        </w:rPr>
        <w:t>整形后光斑长轴方向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50mm，长轴方向上光斑分布均匀度</w:t>
      </w:r>
      <w:r>
        <w:rPr>
          <w:rFonts w:hint="eastAsia" w:ascii="仿宋_GB2312" w:hAnsi="仿宋_GB2312" w:eastAsia="仿宋_GB2312" w:cs="仿宋_GB2312"/>
        </w:rPr>
        <w:t>≤</w:t>
      </w:r>
      <w:r>
        <w:rPr>
          <w:rFonts w:hint="eastAsia" w:ascii="仿宋_GB2312" w:hAnsi="仿宋_GB2312" w:cs="仿宋_GB2312"/>
          <w:lang w:val="en-US" w:eastAsia="zh-CN"/>
        </w:rPr>
        <w:t>2%（RMS 2σ），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短轴方向上光斑分布均匀度</w:t>
      </w:r>
      <w:r>
        <w:rPr>
          <w:rFonts w:hint="eastAsia" w:ascii="仿宋_GB2312" w:hAnsi="仿宋_GB2312" w:eastAsia="仿宋_GB2312" w:cs="仿宋_GB2312"/>
        </w:rPr>
        <w:t>≤</w:t>
      </w:r>
      <w:r>
        <w:rPr>
          <w:rFonts w:hint="eastAsia" w:ascii="仿宋_GB2312" w:hAnsi="仿宋_GB2312" w:cs="仿宋_GB2312"/>
          <w:lang w:val="en-US" w:eastAsia="zh-CN"/>
        </w:rPr>
        <w:t>4%（RMS 2σ）。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四、项目实施期限：3年。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</w:pPr>
      <w:r>
        <w:rPr>
          <w:rFonts w:hint="eastAsia" w:ascii="仿宋_GB2312" w:hAnsi="仿宋_GB2312" w:eastAsia="仿宋_GB2312" w:cs="仿宋_GB2312"/>
        </w:rPr>
        <w:t>五、资助资金：不超过</w:t>
      </w:r>
      <w:r>
        <w:rPr>
          <w:rFonts w:hint="eastAsia" w:ascii="仿宋_GB2312" w:hAnsi="仿宋_GB2312" w:cs="仿宋_GB231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</w:rPr>
        <w:t>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CE3219"/>
    <w:rsid w:val="47CE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2019-07-16T08:10:00Z</dcterms:created>
  <dc:creator>张智勇</dc:creator>
  <cp:lastModifiedBy>张智勇</cp:lastModifiedBy>
  <dcterms:modified xsi:type="dcterms:W3CDTF">2019-07-16T08:11:41Z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